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DF" w:rsidRDefault="006D57DF" w:rsidP="006D57DF">
      <w:pPr>
        <w:pStyle w:val="Default"/>
        <w:rPr>
          <w:b/>
          <w:bCs/>
          <w:i/>
          <w:iCs/>
          <w:sz w:val="23"/>
          <w:szCs w:val="23"/>
        </w:rPr>
      </w:pPr>
      <w:r>
        <w:t xml:space="preserve"> </w:t>
      </w:r>
      <w:r>
        <w:rPr>
          <w:b/>
          <w:bCs/>
          <w:i/>
          <w:iCs/>
          <w:sz w:val="23"/>
          <w:szCs w:val="23"/>
        </w:rPr>
        <w:t xml:space="preserve">OŠ </w:t>
      </w:r>
      <w:r w:rsidR="00623840">
        <w:rPr>
          <w:b/>
          <w:bCs/>
          <w:i/>
          <w:iCs/>
          <w:sz w:val="23"/>
          <w:szCs w:val="23"/>
        </w:rPr>
        <w:t>Borovje</w:t>
      </w:r>
      <w:r>
        <w:rPr>
          <w:b/>
          <w:bCs/>
          <w:i/>
          <w:iCs/>
          <w:sz w:val="23"/>
          <w:szCs w:val="23"/>
        </w:rPr>
        <w:t xml:space="preserve">, </w:t>
      </w:r>
      <w:r w:rsidR="00623840">
        <w:rPr>
          <w:b/>
          <w:bCs/>
          <w:i/>
          <w:iCs/>
          <w:sz w:val="23"/>
          <w:szCs w:val="23"/>
        </w:rPr>
        <w:t>Zagreb – Tihomir Hojsak, prof.</w:t>
      </w:r>
      <w:bookmarkStart w:id="0" w:name="_GoBack"/>
      <w:bookmarkEnd w:id="0"/>
    </w:p>
    <w:p w:rsidR="006D57DF" w:rsidRDefault="006D57DF" w:rsidP="006D57DF">
      <w:pPr>
        <w:pStyle w:val="Default"/>
        <w:rPr>
          <w:sz w:val="23"/>
          <w:szCs w:val="23"/>
        </w:rPr>
      </w:pPr>
    </w:p>
    <w:p w:rsidR="006D57DF" w:rsidRDefault="006D57DF" w:rsidP="006D57DF">
      <w:pPr>
        <w:pStyle w:val="Default"/>
        <w:jc w:val="center"/>
        <w:rPr>
          <w:sz w:val="23"/>
          <w:szCs w:val="23"/>
        </w:rPr>
      </w:pPr>
      <w:r>
        <w:rPr>
          <w:b/>
          <w:bCs/>
          <w:sz w:val="23"/>
          <w:szCs w:val="23"/>
        </w:rPr>
        <w:t>ELEMENTI OCJENJIVANJA POSTIGNUTE RAZINE KOMPETENCIJA, NAČINI I POSTUPCI VREDNOVANJA U ČETVRTOM RAZREDU</w:t>
      </w:r>
    </w:p>
    <w:p w:rsidR="006D57DF" w:rsidRDefault="006D57DF" w:rsidP="006D57DF">
      <w:pPr>
        <w:pStyle w:val="Default"/>
        <w:rPr>
          <w:sz w:val="22"/>
          <w:szCs w:val="22"/>
        </w:rPr>
      </w:pPr>
      <w:r>
        <w:rPr>
          <w:sz w:val="22"/>
          <w:szCs w:val="22"/>
        </w:rPr>
        <w:t xml:space="preserve">Nastavni predmet: </w:t>
      </w:r>
      <w:r>
        <w:rPr>
          <w:b/>
          <w:bCs/>
          <w:sz w:val="22"/>
          <w:szCs w:val="22"/>
        </w:rPr>
        <w:t xml:space="preserve">GLAZBENA KULTURA </w:t>
      </w:r>
    </w:p>
    <w:p w:rsidR="006D57DF" w:rsidRDefault="006D57DF" w:rsidP="006D57DF">
      <w:pPr>
        <w:pStyle w:val="Default"/>
        <w:rPr>
          <w:sz w:val="22"/>
          <w:szCs w:val="22"/>
        </w:rPr>
      </w:pPr>
      <w:r>
        <w:rPr>
          <w:sz w:val="22"/>
          <w:szCs w:val="22"/>
        </w:rPr>
        <w:t xml:space="preserve">Razred: </w:t>
      </w:r>
      <w:r>
        <w:rPr>
          <w:b/>
          <w:bCs/>
          <w:sz w:val="22"/>
          <w:szCs w:val="22"/>
        </w:rPr>
        <w:t xml:space="preserve">4. </w:t>
      </w:r>
    </w:p>
    <w:p w:rsidR="006D57DF" w:rsidRDefault="006D57DF" w:rsidP="006D57DF">
      <w:pPr>
        <w:pStyle w:val="Default"/>
      </w:pPr>
      <w:r>
        <w:rPr>
          <w:sz w:val="22"/>
          <w:szCs w:val="22"/>
        </w:rPr>
        <w:t>Načini i postupci vrednovanja: individualno, skupno, usmeno, pismeno</w:t>
      </w:r>
    </w:p>
    <w:tbl>
      <w:tblPr>
        <w:tblStyle w:val="TableGrid"/>
        <w:tblW w:w="15405" w:type="dxa"/>
        <w:tblLayout w:type="fixed"/>
        <w:tblLook w:val="0000" w:firstRow="0" w:lastRow="0" w:firstColumn="0" w:lastColumn="0" w:noHBand="0" w:noVBand="0"/>
      </w:tblPr>
      <w:tblGrid>
        <w:gridCol w:w="817"/>
        <w:gridCol w:w="2917"/>
        <w:gridCol w:w="2918"/>
        <w:gridCol w:w="2917"/>
        <w:gridCol w:w="2918"/>
        <w:gridCol w:w="2918"/>
      </w:tblGrid>
      <w:tr w:rsidR="006D57DF" w:rsidTr="00F7013B">
        <w:trPr>
          <w:trHeight w:val="110"/>
        </w:trPr>
        <w:tc>
          <w:tcPr>
            <w:tcW w:w="817" w:type="dxa"/>
          </w:tcPr>
          <w:p w:rsidR="006D57DF" w:rsidRDefault="006D57DF">
            <w:pPr>
              <w:pStyle w:val="Default"/>
              <w:rPr>
                <w:sz w:val="22"/>
                <w:szCs w:val="22"/>
              </w:rPr>
            </w:pPr>
          </w:p>
        </w:tc>
        <w:tc>
          <w:tcPr>
            <w:tcW w:w="2917" w:type="dxa"/>
          </w:tcPr>
          <w:p w:rsidR="006D57DF" w:rsidRDefault="006D57DF" w:rsidP="006D57DF">
            <w:pPr>
              <w:pStyle w:val="Default"/>
              <w:jc w:val="center"/>
              <w:rPr>
                <w:sz w:val="22"/>
                <w:szCs w:val="22"/>
              </w:rPr>
            </w:pPr>
            <w:r>
              <w:rPr>
                <w:b/>
                <w:bCs/>
                <w:sz w:val="22"/>
                <w:szCs w:val="22"/>
              </w:rPr>
              <w:t>ODLIČAN</w:t>
            </w:r>
          </w:p>
        </w:tc>
        <w:tc>
          <w:tcPr>
            <w:tcW w:w="2918" w:type="dxa"/>
          </w:tcPr>
          <w:p w:rsidR="006D57DF" w:rsidRDefault="006D57DF" w:rsidP="006D57DF">
            <w:pPr>
              <w:pStyle w:val="Default"/>
              <w:jc w:val="center"/>
              <w:rPr>
                <w:sz w:val="22"/>
                <w:szCs w:val="22"/>
              </w:rPr>
            </w:pPr>
            <w:r>
              <w:rPr>
                <w:b/>
                <w:bCs/>
                <w:sz w:val="22"/>
                <w:szCs w:val="22"/>
              </w:rPr>
              <w:t>VRLO DOBAR</w:t>
            </w:r>
          </w:p>
        </w:tc>
        <w:tc>
          <w:tcPr>
            <w:tcW w:w="2917" w:type="dxa"/>
          </w:tcPr>
          <w:p w:rsidR="006D57DF" w:rsidRDefault="006D57DF" w:rsidP="006D57DF">
            <w:pPr>
              <w:pStyle w:val="Default"/>
              <w:jc w:val="center"/>
              <w:rPr>
                <w:sz w:val="22"/>
                <w:szCs w:val="22"/>
              </w:rPr>
            </w:pPr>
            <w:r>
              <w:rPr>
                <w:b/>
                <w:bCs/>
                <w:sz w:val="22"/>
                <w:szCs w:val="22"/>
              </w:rPr>
              <w:t>DOBAR</w:t>
            </w:r>
          </w:p>
        </w:tc>
        <w:tc>
          <w:tcPr>
            <w:tcW w:w="2918" w:type="dxa"/>
          </w:tcPr>
          <w:p w:rsidR="006D57DF" w:rsidRDefault="006D57DF" w:rsidP="006D57DF">
            <w:pPr>
              <w:pStyle w:val="Default"/>
              <w:jc w:val="center"/>
              <w:rPr>
                <w:sz w:val="22"/>
                <w:szCs w:val="22"/>
              </w:rPr>
            </w:pPr>
            <w:r>
              <w:rPr>
                <w:b/>
                <w:bCs/>
                <w:sz w:val="22"/>
                <w:szCs w:val="22"/>
              </w:rPr>
              <w:t>DOVOLJAN</w:t>
            </w:r>
          </w:p>
        </w:tc>
        <w:tc>
          <w:tcPr>
            <w:tcW w:w="2918" w:type="dxa"/>
          </w:tcPr>
          <w:p w:rsidR="006D57DF" w:rsidRDefault="006D57DF" w:rsidP="006D57DF">
            <w:pPr>
              <w:pStyle w:val="Default"/>
              <w:jc w:val="center"/>
              <w:rPr>
                <w:sz w:val="22"/>
                <w:szCs w:val="22"/>
              </w:rPr>
            </w:pPr>
            <w:r>
              <w:rPr>
                <w:b/>
                <w:bCs/>
                <w:sz w:val="22"/>
                <w:szCs w:val="22"/>
              </w:rPr>
              <w:t>NEDOVOLJAN</w:t>
            </w:r>
          </w:p>
        </w:tc>
      </w:tr>
      <w:tr w:rsidR="006D57DF" w:rsidTr="00F7013B">
        <w:trPr>
          <w:cantSplit/>
          <w:trHeight w:val="1472"/>
        </w:trPr>
        <w:tc>
          <w:tcPr>
            <w:tcW w:w="817" w:type="dxa"/>
            <w:textDirection w:val="btLr"/>
            <w:vAlign w:val="center"/>
          </w:tcPr>
          <w:p w:rsidR="006D57DF" w:rsidRPr="00F7013B" w:rsidRDefault="006D57DF" w:rsidP="006D57DF">
            <w:pPr>
              <w:pStyle w:val="Default"/>
              <w:ind w:left="113" w:right="113"/>
              <w:jc w:val="center"/>
              <w:rPr>
                <w:sz w:val="20"/>
                <w:szCs w:val="20"/>
              </w:rPr>
            </w:pPr>
            <w:r w:rsidRPr="00F7013B">
              <w:rPr>
                <w:b/>
                <w:bCs/>
                <w:sz w:val="20"/>
                <w:szCs w:val="20"/>
              </w:rPr>
              <w:t>Pjevanje</w:t>
            </w:r>
          </w:p>
        </w:tc>
        <w:tc>
          <w:tcPr>
            <w:tcW w:w="2917" w:type="dxa"/>
          </w:tcPr>
          <w:p w:rsidR="006D57DF" w:rsidRDefault="006D57DF">
            <w:pPr>
              <w:pStyle w:val="Default"/>
              <w:rPr>
                <w:sz w:val="22"/>
                <w:szCs w:val="22"/>
              </w:rPr>
            </w:pPr>
            <w:r>
              <w:rPr>
                <w:sz w:val="22"/>
                <w:szCs w:val="22"/>
              </w:rPr>
              <w:t xml:space="preserve">Pjeva točno, do kraja primjera samostalno i u grupi, lijep ton, čista intonacija, izražajan tekst pjesme, napjeve lako i brzo pamti, izrazite sposobnosti. </w:t>
            </w:r>
          </w:p>
        </w:tc>
        <w:tc>
          <w:tcPr>
            <w:tcW w:w="2918" w:type="dxa"/>
          </w:tcPr>
          <w:p w:rsidR="006D57DF" w:rsidRDefault="006D57DF">
            <w:pPr>
              <w:pStyle w:val="Default"/>
              <w:rPr>
                <w:sz w:val="22"/>
                <w:szCs w:val="22"/>
              </w:rPr>
            </w:pPr>
            <w:r>
              <w:rPr>
                <w:sz w:val="22"/>
                <w:szCs w:val="22"/>
              </w:rPr>
              <w:t xml:space="preserve">Pjeva glazbeni primjer s manjim ritmičkim ili melodijskim pogreškama, razvijene sposobnosti, interes za rad promjenjiv. </w:t>
            </w:r>
          </w:p>
        </w:tc>
        <w:tc>
          <w:tcPr>
            <w:tcW w:w="2917" w:type="dxa"/>
          </w:tcPr>
          <w:p w:rsidR="006D57DF" w:rsidRDefault="006D57DF">
            <w:pPr>
              <w:pStyle w:val="Default"/>
              <w:rPr>
                <w:sz w:val="22"/>
                <w:szCs w:val="22"/>
              </w:rPr>
            </w:pPr>
            <w:r>
              <w:rPr>
                <w:sz w:val="22"/>
                <w:szCs w:val="22"/>
              </w:rPr>
              <w:t xml:space="preserve">Pjeva uz pomod učitelja ili učenika, interes slabiji. </w:t>
            </w:r>
          </w:p>
        </w:tc>
        <w:tc>
          <w:tcPr>
            <w:tcW w:w="2918" w:type="dxa"/>
          </w:tcPr>
          <w:p w:rsidR="006D57DF" w:rsidRDefault="006D57DF">
            <w:pPr>
              <w:pStyle w:val="Default"/>
              <w:rPr>
                <w:sz w:val="22"/>
                <w:szCs w:val="22"/>
              </w:rPr>
            </w:pPr>
            <w:r>
              <w:rPr>
                <w:sz w:val="22"/>
                <w:szCs w:val="22"/>
              </w:rPr>
              <w:t xml:space="preserve">Teže se uključuje u pjevanje, nesamostalan, potrebno ga usmjeravati na intonaciju, </w:t>
            </w:r>
          </w:p>
          <w:p w:rsidR="006D57DF" w:rsidRDefault="006D57DF">
            <w:pPr>
              <w:pStyle w:val="Default"/>
              <w:rPr>
                <w:sz w:val="22"/>
                <w:szCs w:val="22"/>
              </w:rPr>
            </w:pPr>
            <w:r>
              <w:rPr>
                <w:sz w:val="22"/>
                <w:szCs w:val="22"/>
              </w:rPr>
              <w:t xml:space="preserve">ritam i tekst pjesme, nezainteresiran, pjeva samo u grupi. </w:t>
            </w:r>
          </w:p>
        </w:tc>
        <w:tc>
          <w:tcPr>
            <w:tcW w:w="2918" w:type="dxa"/>
          </w:tcPr>
          <w:p w:rsidR="006D57DF" w:rsidRDefault="006D57DF">
            <w:pPr>
              <w:pStyle w:val="Default"/>
              <w:rPr>
                <w:sz w:val="22"/>
                <w:szCs w:val="22"/>
              </w:rPr>
            </w:pPr>
            <w:r>
              <w:rPr>
                <w:sz w:val="22"/>
                <w:szCs w:val="22"/>
              </w:rPr>
              <w:t xml:space="preserve">Ne želi sudjelovati u pjevanju i svojim ponašanjem ometa rad. </w:t>
            </w:r>
          </w:p>
        </w:tc>
      </w:tr>
      <w:tr w:rsidR="006D57DF" w:rsidTr="00F7013B">
        <w:trPr>
          <w:cantSplit/>
          <w:trHeight w:val="1134"/>
        </w:trPr>
        <w:tc>
          <w:tcPr>
            <w:tcW w:w="817" w:type="dxa"/>
            <w:textDirection w:val="btLr"/>
            <w:vAlign w:val="center"/>
          </w:tcPr>
          <w:p w:rsidR="006D57DF" w:rsidRPr="00F7013B" w:rsidRDefault="006D57DF" w:rsidP="006D57DF">
            <w:pPr>
              <w:pStyle w:val="Default"/>
              <w:ind w:left="113" w:right="113"/>
              <w:jc w:val="center"/>
              <w:rPr>
                <w:sz w:val="20"/>
                <w:szCs w:val="20"/>
              </w:rPr>
            </w:pPr>
            <w:r w:rsidRPr="00F7013B">
              <w:rPr>
                <w:b/>
                <w:bCs/>
                <w:sz w:val="20"/>
                <w:szCs w:val="20"/>
              </w:rPr>
              <w:t>Sviranje</w:t>
            </w:r>
          </w:p>
        </w:tc>
        <w:tc>
          <w:tcPr>
            <w:tcW w:w="2917" w:type="dxa"/>
          </w:tcPr>
          <w:p w:rsidR="006D57DF" w:rsidRDefault="006D57DF">
            <w:pPr>
              <w:pStyle w:val="Default"/>
              <w:rPr>
                <w:sz w:val="22"/>
                <w:szCs w:val="22"/>
              </w:rPr>
            </w:pPr>
            <w:r>
              <w:rPr>
                <w:sz w:val="22"/>
                <w:szCs w:val="22"/>
              </w:rPr>
              <w:t xml:space="preserve">Samostalno i točno izvodi ritamske i melodijske primjere, kreativan, izrazito aktivan. </w:t>
            </w:r>
          </w:p>
        </w:tc>
        <w:tc>
          <w:tcPr>
            <w:tcW w:w="2918" w:type="dxa"/>
          </w:tcPr>
          <w:p w:rsidR="006D57DF" w:rsidRDefault="006D57DF">
            <w:pPr>
              <w:pStyle w:val="Default"/>
              <w:rPr>
                <w:sz w:val="22"/>
                <w:szCs w:val="22"/>
              </w:rPr>
            </w:pPr>
            <w:r>
              <w:rPr>
                <w:sz w:val="22"/>
                <w:szCs w:val="22"/>
              </w:rPr>
              <w:t xml:space="preserve">Rado surađuje, ritamske i melodijske primjere izvodi samostalno uz 1 - 2 pogreške. </w:t>
            </w:r>
          </w:p>
        </w:tc>
        <w:tc>
          <w:tcPr>
            <w:tcW w:w="2917" w:type="dxa"/>
          </w:tcPr>
          <w:p w:rsidR="006D57DF" w:rsidRDefault="006D57DF">
            <w:pPr>
              <w:pStyle w:val="Default"/>
              <w:rPr>
                <w:sz w:val="22"/>
                <w:szCs w:val="22"/>
              </w:rPr>
            </w:pPr>
            <w:r>
              <w:rPr>
                <w:sz w:val="22"/>
                <w:szCs w:val="22"/>
              </w:rPr>
              <w:t xml:space="preserve">Radi samo u grupi ili uz pomod učitelja, nesiguran u izvedbi. </w:t>
            </w:r>
          </w:p>
        </w:tc>
        <w:tc>
          <w:tcPr>
            <w:tcW w:w="2918" w:type="dxa"/>
          </w:tcPr>
          <w:p w:rsidR="006D57DF" w:rsidRDefault="006D57DF">
            <w:pPr>
              <w:pStyle w:val="Default"/>
              <w:rPr>
                <w:sz w:val="22"/>
                <w:szCs w:val="22"/>
              </w:rPr>
            </w:pPr>
            <w:r>
              <w:rPr>
                <w:sz w:val="22"/>
                <w:szCs w:val="22"/>
              </w:rPr>
              <w:t xml:space="preserve">Nezainteresiran, ne uključuje se ni na poticaj učitelja, slabih sposobnosti, neprecizna izvedba, potrebna stalna kontrola učitelja. </w:t>
            </w:r>
          </w:p>
        </w:tc>
        <w:tc>
          <w:tcPr>
            <w:tcW w:w="2918" w:type="dxa"/>
          </w:tcPr>
          <w:p w:rsidR="006D57DF" w:rsidRDefault="006D57DF">
            <w:pPr>
              <w:pStyle w:val="Default"/>
              <w:rPr>
                <w:sz w:val="22"/>
                <w:szCs w:val="22"/>
              </w:rPr>
            </w:pPr>
            <w:r>
              <w:rPr>
                <w:sz w:val="22"/>
                <w:szCs w:val="22"/>
              </w:rPr>
              <w:t xml:space="preserve">Ne želi surađivati u izvođenju ritamskih i melodijskih primjera i ometa rad skupine. </w:t>
            </w:r>
          </w:p>
        </w:tc>
      </w:tr>
      <w:tr w:rsidR="006D57DF" w:rsidTr="00F7013B">
        <w:trPr>
          <w:cantSplit/>
          <w:trHeight w:val="1134"/>
        </w:trPr>
        <w:tc>
          <w:tcPr>
            <w:tcW w:w="817" w:type="dxa"/>
            <w:textDirection w:val="btLr"/>
            <w:vAlign w:val="center"/>
          </w:tcPr>
          <w:p w:rsidR="006D57DF" w:rsidRPr="00F7013B" w:rsidRDefault="006D57DF" w:rsidP="006D57DF">
            <w:pPr>
              <w:pStyle w:val="Default"/>
              <w:ind w:left="113" w:right="113"/>
              <w:jc w:val="center"/>
              <w:rPr>
                <w:sz w:val="20"/>
                <w:szCs w:val="20"/>
              </w:rPr>
            </w:pPr>
            <w:r w:rsidRPr="00F7013B">
              <w:rPr>
                <w:b/>
                <w:bCs/>
                <w:sz w:val="20"/>
                <w:szCs w:val="20"/>
              </w:rPr>
              <w:t>Slušanje</w:t>
            </w:r>
          </w:p>
        </w:tc>
        <w:tc>
          <w:tcPr>
            <w:tcW w:w="2917" w:type="dxa"/>
          </w:tcPr>
          <w:p w:rsidR="006D57DF" w:rsidRDefault="006D57DF">
            <w:pPr>
              <w:pStyle w:val="Default"/>
              <w:rPr>
                <w:sz w:val="22"/>
                <w:szCs w:val="22"/>
              </w:rPr>
            </w:pPr>
            <w:r>
              <w:rPr>
                <w:sz w:val="22"/>
                <w:szCs w:val="22"/>
              </w:rPr>
              <w:t xml:space="preserve">Samostalno prepoznaje i imenuje skladbe i skladatelje, prepoznaje glazbala, oznake tempa i dinamike, nazive izvođačkih sastava. </w:t>
            </w:r>
          </w:p>
        </w:tc>
        <w:tc>
          <w:tcPr>
            <w:tcW w:w="2918" w:type="dxa"/>
          </w:tcPr>
          <w:p w:rsidR="006D57DF" w:rsidRDefault="006D57DF">
            <w:pPr>
              <w:pStyle w:val="Default"/>
              <w:rPr>
                <w:sz w:val="22"/>
                <w:szCs w:val="22"/>
              </w:rPr>
            </w:pPr>
            <w:r>
              <w:rPr>
                <w:sz w:val="22"/>
                <w:szCs w:val="22"/>
              </w:rPr>
              <w:t xml:space="preserve">Potrebna pomod pri prepoznavanju i imenovanju skladbe i skladatelja, glazbala, tempa, dinamike, naziva izvođačkih sastava. </w:t>
            </w:r>
          </w:p>
        </w:tc>
        <w:tc>
          <w:tcPr>
            <w:tcW w:w="2917" w:type="dxa"/>
          </w:tcPr>
          <w:p w:rsidR="006D57DF" w:rsidRDefault="006D57DF">
            <w:pPr>
              <w:pStyle w:val="Default"/>
              <w:rPr>
                <w:sz w:val="22"/>
                <w:szCs w:val="22"/>
              </w:rPr>
            </w:pPr>
            <w:r>
              <w:rPr>
                <w:sz w:val="22"/>
                <w:szCs w:val="22"/>
              </w:rPr>
              <w:t xml:space="preserve">Teže slušno prepoznaje izvođačke sastave, glazbala i slušne glazbene primjere. </w:t>
            </w:r>
          </w:p>
        </w:tc>
        <w:tc>
          <w:tcPr>
            <w:tcW w:w="2918" w:type="dxa"/>
          </w:tcPr>
          <w:p w:rsidR="006D57DF" w:rsidRDefault="006D57DF">
            <w:pPr>
              <w:pStyle w:val="Default"/>
              <w:rPr>
                <w:sz w:val="22"/>
                <w:szCs w:val="22"/>
              </w:rPr>
            </w:pPr>
            <w:r>
              <w:rPr>
                <w:sz w:val="22"/>
                <w:szCs w:val="22"/>
              </w:rPr>
              <w:t xml:space="preserve">Nesamostalan u prepoznavanju i imenovanju glazbenih primjera, potrebna pomod učitelja ili učenika. </w:t>
            </w:r>
          </w:p>
        </w:tc>
        <w:tc>
          <w:tcPr>
            <w:tcW w:w="2918" w:type="dxa"/>
          </w:tcPr>
          <w:p w:rsidR="006D57DF" w:rsidRDefault="006D57DF">
            <w:pPr>
              <w:pStyle w:val="Default"/>
              <w:rPr>
                <w:sz w:val="22"/>
                <w:szCs w:val="22"/>
              </w:rPr>
            </w:pPr>
            <w:r>
              <w:rPr>
                <w:sz w:val="22"/>
                <w:szCs w:val="22"/>
              </w:rPr>
              <w:t xml:space="preserve">Ne prepoznaje niti jedan za pozitivne ocjene navedeni element. </w:t>
            </w:r>
          </w:p>
        </w:tc>
      </w:tr>
      <w:tr w:rsidR="006D57DF" w:rsidTr="00F7013B">
        <w:trPr>
          <w:cantSplit/>
          <w:trHeight w:val="1134"/>
        </w:trPr>
        <w:tc>
          <w:tcPr>
            <w:tcW w:w="817" w:type="dxa"/>
            <w:textDirection w:val="btLr"/>
            <w:vAlign w:val="center"/>
          </w:tcPr>
          <w:p w:rsidR="006D57DF" w:rsidRPr="00F7013B" w:rsidRDefault="006D57DF" w:rsidP="006D57DF">
            <w:pPr>
              <w:pStyle w:val="Default"/>
              <w:ind w:left="113" w:right="113"/>
              <w:jc w:val="center"/>
              <w:rPr>
                <w:sz w:val="20"/>
                <w:szCs w:val="20"/>
              </w:rPr>
            </w:pPr>
            <w:r w:rsidRPr="00F7013B">
              <w:rPr>
                <w:b/>
                <w:bCs/>
                <w:sz w:val="20"/>
                <w:szCs w:val="20"/>
              </w:rPr>
              <w:t>Osnove glazbene pismenosti</w:t>
            </w:r>
          </w:p>
        </w:tc>
        <w:tc>
          <w:tcPr>
            <w:tcW w:w="2917" w:type="dxa"/>
          </w:tcPr>
          <w:p w:rsidR="006D57DF" w:rsidRDefault="006D57DF">
            <w:pPr>
              <w:pStyle w:val="Default"/>
              <w:rPr>
                <w:sz w:val="22"/>
                <w:szCs w:val="22"/>
              </w:rPr>
            </w:pPr>
            <w:r>
              <w:rPr>
                <w:sz w:val="22"/>
                <w:szCs w:val="22"/>
              </w:rPr>
              <w:t xml:space="preserve">Točno imenuje, prepoznaje i zapisuje notne vrijednosti, vrste mjera, temeljne oznake tempa i dinamike, prepoznaje legato, ligaturu i koronu, znak ponavljanja, prvi i drugi završetak, solmizacijska imena, glazbenu abecedu. </w:t>
            </w:r>
          </w:p>
        </w:tc>
        <w:tc>
          <w:tcPr>
            <w:tcW w:w="2918" w:type="dxa"/>
          </w:tcPr>
          <w:p w:rsidR="006D57DF" w:rsidRDefault="006D57DF">
            <w:pPr>
              <w:pStyle w:val="Default"/>
              <w:rPr>
                <w:sz w:val="22"/>
                <w:szCs w:val="22"/>
              </w:rPr>
            </w:pPr>
            <w:r>
              <w:rPr>
                <w:sz w:val="22"/>
                <w:szCs w:val="22"/>
              </w:rPr>
              <w:t xml:space="preserve">Prepoznaje sve za odličan navedene elemente, ali mu je povremeno potrebna pomod. </w:t>
            </w:r>
          </w:p>
        </w:tc>
        <w:tc>
          <w:tcPr>
            <w:tcW w:w="2917" w:type="dxa"/>
          </w:tcPr>
          <w:p w:rsidR="006D57DF" w:rsidRDefault="006D57DF">
            <w:pPr>
              <w:pStyle w:val="Default"/>
              <w:rPr>
                <w:sz w:val="22"/>
                <w:szCs w:val="22"/>
              </w:rPr>
            </w:pPr>
            <w:r>
              <w:rPr>
                <w:sz w:val="22"/>
                <w:szCs w:val="22"/>
              </w:rPr>
              <w:t xml:space="preserve">Djelomično prepoznaje elemente glazbene pismenosti i treba ga poticati na rad. </w:t>
            </w:r>
          </w:p>
        </w:tc>
        <w:tc>
          <w:tcPr>
            <w:tcW w:w="2918" w:type="dxa"/>
          </w:tcPr>
          <w:p w:rsidR="006D57DF" w:rsidRDefault="006D57DF">
            <w:pPr>
              <w:pStyle w:val="Default"/>
              <w:rPr>
                <w:sz w:val="22"/>
                <w:szCs w:val="22"/>
              </w:rPr>
            </w:pPr>
            <w:r>
              <w:rPr>
                <w:sz w:val="22"/>
                <w:szCs w:val="22"/>
              </w:rPr>
              <w:t xml:space="preserve">Nesamostalan, u svemu potrebna pomod učitelja. </w:t>
            </w:r>
          </w:p>
        </w:tc>
        <w:tc>
          <w:tcPr>
            <w:tcW w:w="2918" w:type="dxa"/>
          </w:tcPr>
          <w:p w:rsidR="006D57DF" w:rsidRDefault="006D57DF">
            <w:pPr>
              <w:pStyle w:val="Default"/>
              <w:rPr>
                <w:sz w:val="22"/>
                <w:szCs w:val="22"/>
              </w:rPr>
            </w:pPr>
            <w:r>
              <w:rPr>
                <w:sz w:val="22"/>
                <w:szCs w:val="22"/>
              </w:rPr>
              <w:t xml:space="preserve">Ne prepoznaje niti jedan element glazbene pismenosti </w:t>
            </w:r>
          </w:p>
        </w:tc>
      </w:tr>
    </w:tbl>
    <w:p w:rsidR="008C5A61" w:rsidRDefault="00623840"/>
    <w:p w:rsidR="006D57DF" w:rsidRDefault="006D57DF"/>
    <w:p w:rsidR="00F7013B" w:rsidRDefault="00F7013B"/>
    <w:p w:rsidR="006D57DF" w:rsidRDefault="006D57DF" w:rsidP="006D57DF">
      <w:pPr>
        <w:pStyle w:val="Default"/>
        <w:jc w:val="center"/>
        <w:rPr>
          <w:sz w:val="23"/>
          <w:szCs w:val="23"/>
        </w:rPr>
      </w:pPr>
      <w:r>
        <w:rPr>
          <w:b/>
          <w:bCs/>
          <w:sz w:val="23"/>
          <w:szCs w:val="23"/>
        </w:rPr>
        <w:lastRenderedPageBreak/>
        <w:t>ELEMENTI OCJENJIVANJA POSTIGNUTE RAZINE KOMPETENCIJA,NAČINI I POSTUPCI VREDNOVANJA U PETOM I ŠESTOM RAZREDU</w:t>
      </w:r>
    </w:p>
    <w:p w:rsidR="006D57DF" w:rsidRDefault="006D57DF" w:rsidP="006D57DF">
      <w:pPr>
        <w:pStyle w:val="Default"/>
        <w:rPr>
          <w:sz w:val="22"/>
          <w:szCs w:val="22"/>
        </w:rPr>
      </w:pPr>
      <w:r>
        <w:rPr>
          <w:sz w:val="22"/>
          <w:szCs w:val="22"/>
        </w:rPr>
        <w:t xml:space="preserve">Nastavni predmet: </w:t>
      </w:r>
      <w:r>
        <w:rPr>
          <w:b/>
          <w:bCs/>
          <w:sz w:val="22"/>
          <w:szCs w:val="22"/>
        </w:rPr>
        <w:t xml:space="preserve">GLAZBENA KULTURA </w:t>
      </w:r>
    </w:p>
    <w:p w:rsidR="006D57DF" w:rsidRDefault="006D57DF" w:rsidP="006D57DF">
      <w:pPr>
        <w:pStyle w:val="Default"/>
        <w:rPr>
          <w:sz w:val="22"/>
          <w:szCs w:val="22"/>
        </w:rPr>
      </w:pPr>
      <w:r>
        <w:rPr>
          <w:sz w:val="22"/>
          <w:szCs w:val="22"/>
        </w:rPr>
        <w:t xml:space="preserve">Razredi: </w:t>
      </w:r>
      <w:r>
        <w:rPr>
          <w:b/>
          <w:bCs/>
          <w:sz w:val="22"/>
          <w:szCs w:val="22"/>
        </w:rPr>
        <w:t xml:space="preserve">5. – 6. </w:t>
      </w:r>
    </w:p>
    <w:p w:rsidR="006D57DF" w:rsidRDefault="006D57DF" w:rsidP="006D57DF">
      <w:r>
        <w:t>Načini i postupci vrednovanja: individualno, skupno, usmeno, pismeno</w:t>
      </w:r>
    </w:p>
    <w:tbl>
      <w:tblPr>
        <w:tblStyle w:val="TableGrid"/>
        <w:tblW w:w="15417" w:type="dxa"/>
        <w:tblLayout w:type="fixed"/>
        <w:tblLook w:val="0000" w:firstRow="0" w:lastRow="0" w:firstColumn="0" w:lastColumn="0" w:noHBand="0" w:noVBand="0"/>
      </w:tblPr>
      <w:tblGrid>
        <w:gridCol w:w="675"/>
        <w:gridCol w:w="2963"/>
        <w:gridCol w:w="2963"/>
        <w:gridCol w:w="2963"/>
        <w:gridCol w:w="2963"/>
        <w:gridCol w:w="2890"/>
      </w:tblGrid>
      <w:tr w:rsidR="006D57DF" w:rsidRPr="006D57DF" w:rsidTr="00F7013B">
        <w:trPr>
          <w:trHeight w:val="110"/>
        </w:trPr>
        <w:tc>
          <w:tcPr>
            <w:tcW w:w="675" w:type="dxa"/>
          </w:tcPr>
          <w:p w:rsidR="006D57DF" w:rsidRPr="006D57DF" w:rsidRDefault="006D57DF" w:rsidP="006D57DF">
            <w:pPr>
              <w:autoSpaceDE w:val="0"/>
              <w:autoSpaceDN w:val="0"/>
              <w:adjustRightInd w:val="0"/>
              <w:rPr>
                <w:rFonts w:ascii="Calibri" w:hAnsi="Calibri" w:cs="Calibri"/>
                <w:color w:val="000000"/>
              </w:rPr>
            </w:pPr>
          </w:p>
        </w:tc>
        <w:tc>
          <w:tcPr>
            <w:tcW w:w="2963" w:type="dxa"/>
          </w:tcPr>
          <w:p w:rsidR="006D57DF" w:rsidRPr="006D57DF" w:rsidRDefault="006D57DF" w:rsidP="006D57DF">
            <w:pPr>
              <w:autoSpaceDE w:val="0"/>
              <w:autoSpaceDN w:val="0"/>
              <w:adjustRightInd w:val="0"/>
              <w:jc w:val="center"/>
              <w:rPr>
                <w:rFonts w:ascii="Calibri" w:hAnsi="Calibri" w:cs="Calibri"/>
                <w:color w:val="000000"/>
              </w:rPr>
            </w:pPr>
            <w:r w:rsidRPr="006D57DF">
              <w:rPr>
                <w:rFonts w:ascii="Calibri" w:hAnsi="Calibri" w:cs="Calibri"/>
                <w:b/>
                <w:bCs/>
                <w:color w:val="000000"/>
              </w:rPr>
              <w:t>ODLIČAN</w:t>
            </w:r>
          </w:p>
        </w:tc>
        <w:tc>
          <w:tcPr>
            <w:tcW w:w="2963" w:type="dxa"/>
          </w:tcPr>
          <w:p w:rsidR="006D57DF" w:rsidRPr="006D57DF" w:rsidRDefault="006D57DF" w:rsidP="006D57DF">
            <w:pPr>
              <w:autoSpaceDE w:val="0"/>
              <w:autoSpaceDN w:val="0"/>
              <w:adjustRightInd w:val="0"/>
              <w:jc w:val="center"/>
              <w:rPr>
                <w:rFonts w:ascii="Calibri" w:hAnsi="Calibri" w:cs="Calibri"/>
                <w:color w:val="000000"/>
              </w:rPr>
            </w:pPr>
            <w:r w:rsidRPr="006D57DF">
              <w:rPr>
                <w:rFonts w:ascii="Calibri" w:hAnsi="Calibri" w:cs="Calibri"/>
                <w:b/>
                <w:bCs/>
                <w:color w:val="000000"/>
              </w:rPr>
              <w:t>VRLO DOBAR</w:t>
            </w:r>
          </w:p>
        </w:tc>
        <w:tc>
          <w:tcPr>
            <w:tcW w:w="2963" w:type="dxa"/>
          </w:tcPr>
          <w:p w:rsidR="006D57DF" w:rsidRPr="006D57DF" w:rsidRDefault="006D57DF" w:rsidP="006D57DF">
            <w:pPr>
              <w:autoSpaceDE w:val="0"/>
              <w:autoSpaceDN w:val="0"/>
              <w:adjustRightInd w:val="0"/>
              <w:jc w:val="center"/>
              <w:rPr>
                <w:rFonts w:ascii="Calibri" w:hAnsi="Calibri" w:cs="Calibri"/>
                <w:color w:val="000000"/>
              </w:rPr>
            </w:pPr>
            <w:r w:rsidRPr="006D57DF">
              <w:rPr>
                <w:rFonts w:ascii="Calibri" w:hAnsi="Calibri" w:cs="Calibri"/>
                <w:b/>
                <w:bCs/>
                <w:color w:val="000000"/>
              </w:rPr>
              <w:t>DOBAR</w:t>
            </w:r>
          </w:p>
        </w:tc>
        <w:tc>
          <w:tcPr>
            <w:tcW w:w="2963" w:type="dxa"/>
          </w:tcPr>
          <w:p w:rsidR="006D57DF" w:rsidRPr="006D57DF" w:rsidRDefault="006D57DF" w:rsidP="006D57DF">
            <w:pPr>
              <w:autoSpaceDE w:val="0"/>
              <w:autoSpaceDN w:val="0"/>
              <w:adjustRightInd w:val="0"/>
              <w:jc w:val="center"/>
              <w:rPr>
                <w:rFonts w:ascii="Calibri" w:hAnsi="Calibri" w:cs="Calibri"/>
                <w:color w:val="000000"/>
              </w:rPr>
            </w:pPr>
            <w:r w:rsidRPr="006D57DF">
              <w:rPr>
                <w:rFonts w:ascii="Calibri" w:hAnsi="Calibri" w:cs="Calibri"/>
                <w:b/>
                <w:bCs/>
                <w:color w:val="000000"/>
              </w:rPr>
              <w:t>DOVOLJAN</w:t>
            </w:r>
          </w:p>
        </w:tc>
        <w:tc>
          <w:tcPr>
            <w:tcW w:w="2890" w:type="dxa"/>
          </w:tcPr>
          <w:p w:rsidR="006D57DF" w:rsidRPr="006D57DF" w:rsidRDefault="006D57DF" w:rsidP="006D57DF">
            <w:pPr>
              <w:autoSpaceDE w:val="0"/>
              <w:autoSpaceDN w:val="0"/>
              <w:adjustRightInd w:val="0"/>
              <w:jc w:val="center"/>
              <w:rPr>
                <w:rFonts w:ascii="Calibri" w:hAnsi="Calibri" w:cs="Calibri"/>
                <w:color w:val="000000"/>
              </w:rPr>
            </w:pPr>
            <w:r w:rsidRPr="006D57DF">
              <w:rPr>
                <w:rFonts w:ascii="Calibri" w:hAnsi="Calibri" w:cs="Calibri"/>
                <w:b/>
                <w:bCs/>
                <w:color w:val="000000"/>
              </w:rPr>
              <w:t>NEDOVOLJAN</w:t>
            </w:r>
          </w:p>
        </w:tc>
      </w:tr>
      <w:tr w:rsidR="006D57DF" w:rsidRPr="006D57DF" w:rsidTr="00F7013B">
        <w:trPr>
          <w:cantSplit/>
          <w:trHeight w:val="1513"/>
        </w:trPr>
        <w:tc>
          <w:tcPr>
            <w:tcW w:w="675" w:type="dxa"/>
            <w:textDirection w:val="btLr"/>
          </w:tcPr>
          <w:p w:rsidR="006D57DF" w:rsidRPr="006D57DF" w:rsidRDefault="006D57DF" w:rsidP="006D57DF">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Pjevanje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Pjeva točno, do kraja primjera samostalno i u grupi, lijep ton, čista intonacija, izražajan tekst pjesme, napjeve lako i brzo pamti, izrazite sposobnosti.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Pjeva glazbeni primjer s manjim ritmičkim ili melodijskim pogreškama, razvijene sposobnosti, interes za rad promjenjiv.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Pjeva uz pomod učitelja ili učenika, interes slabiji.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Teže se uključuje u pjevanje, nesamostalan, potrebno ga usmjeravati na intonaciju, ritam i tekst pjesme, nezainteresiran, pjeva samo u grupi. </w:t>
            </w:r>
          </w:p>
        </w:tc>
        <w:tc>
          <w:tcPr>
            <w:tcW w:w="2890"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 želi sudjelovati u pjevanju i svojim ponašanjem ometa rad. </w:t>
            </w:r>
          </w:p>
        </w:tc>
      </w:tr>
      <w:tr w:rsidR="006D57DF" w:rsidRPr="006D57DF" w:rsidTr="00F7013B">
        <w:trPr>
          <w:cantSplit/>
          <w:trHeight w:val="1134"/>
        </w:trPr>
        <w:tc>
          <w:tcPr>
            <w:tcW w:w="675" w:type="dxa"/>
            <w:textDirection w:val="btLr"/>
          </w:tcPr>
          <w:p w:rsidR="006D57DF" w:rsidRPr="006D57DF" w:rsidRDefault="006D57DF" w:rsidP="006D57DF">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Sviranje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Samostalno i točno izvodi ritamske i melodijske primjere, kreativan, izrazito aktivan.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Rado surađuje, ritamske i melodijske primjere izvodi samostalno uz 1 - 2 pogreške.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Radi samo u grupi ili uz pomod učitelja, nesiguran u izvedbi.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Nezainteresiran, ne uključuje se ni na poticaj učitelja, slabih sposobnosti, neprecizna izvedba, potrebna stalna kontrola učitelja. </w:t>
            </w:r>
          </w:p>
        </w:tc>
        <w:tc>
          <w:tcPr>
            <w:tcW w:w="2890"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 želi surađivati u izvođenju ritamskih i melodijskih primjera i ometa rad skupine. </w:t>
            </w:r>
          </w:p>
        </w:tc>
      </w:tr>
      <w:tr w:rsidR="006D57DF" w:rsidRPr="006D57DF" w:rsidTr="00F7013B">
        <w:trPr>
          <w:cantSplit/>
          <w:trHeight w:val="1962"/>
        </w:trPr>
        <w:tc>
          <w:tcPr>
            <w:tcW w:w="675" w:type="dxa"/>
            <w:textDirection w:val="btLr"/>
          </w:tcPr>
          <w:p w:rsidR="006D57DF" w:rsidRPr="006D57DF" w:rsidRDefault="006D57DF" w:rsidP="006D57DF">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Intonacija, ritam i glazbeno pismo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Točno imenuje, prepoznaje i zapisuje notne vrijednosti, vrste mjera, temeljne oznake tempa i dinamike, prepoznaje legato, ligaturu i koronu, znak ponavljanja, prvi i drugi završetak, solmizacijska imena, glazbenu abecedu.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Prepoznaje sve za odličan navedene elemente, ali mu je povremeno potrebna pomod.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Djelomično prepoznaje elemente glazbene pismenosti i treba ga poticati na rad.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Nesamostalan, u svemu potrebna pomod učitelja. </w:t>
            </w:r>
          </w:p>
        </w:tc>
        <w:tc>
          <w:tcPr>
            <w:tcW w:w="2890"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 prepoznaje niti jedan element glazbene pismenosti. </w:t>
            </w:r>
          </w:p>
        </w:tc>
      </w:tr>
      <w:tr w:rsidR="006D57DF" w:rsidRPr="006D57DF" w:rsidTr="00F7013B">
        <w:trPr>
          <w:cantSplit/>
          <w:trHeight w:val="1319"/>
        </w:trPr>
        <w:tc>
          <w:tcPr>
            <w:tcW w:w="675" w:type="dxa"/>
            <w:textDirection w:val="btLr"/>
          </w:tcPr>
          <w:p w:rsidR="006D57DF" w:rsidRPr="006D57DF" w:rsidRDefault="006D57DF" w:rsidP="006D57DF">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Osnove glazbene umjetnosti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Aktivno slušanje uz točno prepoznavanje skladbe i skladatelja, glazbenih sastavnica, glazbenih oblika, glazbala (uz vizualno prepoznavanje) i pjevačkih glasova.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Poznaje osnovne značajke folklorne glazbe određenog područja.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Djelomično siguran u prepoznavanju skladbe i skladatelja, glazbenih sastavnica, glazbenih oblika, glazbala (uz vizualno prepoznavanje) i pjevačkih glasova.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Djelomično poznaje osnovne značajke folklorne glazbe određenog područja.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Potrebna pomod učitelja u prepoznavanju skladbe i skladatelja, glazbenih sastavnica, glazbenih oblika, glazbala (uz vizualno prepoznavanje) i pjevačkih glasova.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Potrebna pomod pri prepoznavanju značajki folklorne glazbe. </w:t>
            </w:r>
          </w:p>
        </w:tc>
        <w:tc>
          <w:tcPr>
            <w:tcW w:w="2963"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Znanje primjenjuje djelomično na razini prepoznavanja, pasivan, nesamostalan. </w:t>
            </w:r>
          </w:p>
        </w:tc>
        <w:tc>
          <w:tcPr>
            <w:tcW w:w="2890"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Odbija rad, ne prepoznaje glazbala ni slušno ni vizualno, ne zna nabrojati pjevačke glasove ni uz pomod učitelja. Ne zna nabrojati osnovne značajke folklorne glazbe određenog područja ni uz pomod učitelja </w:t>
            </w:r>
          </w:p>
        </w:tc>
      </w:tr>
    </w:tbl>
    <w:p w:rsidR="006D57DF" w:rsidRDefault="006D57DF" w:rsidP="006D57DF"/>
    <w:p w:rsidR="006D57DF" w:rsidRPr="006D57DF" w:rsidRDefault="006D57DF" w:rsidP="006D57DF">
      <w:pPr>
        <w:autoSpaceDE w:val="0"/>
        <w:autoSpaceDN w:val="0"/>
        <w:adjustRightInd w:val="0"/>
        <w:spacing w:after="0" w:line="240" w:lineRule="auto"/>
        <w:jc w:val="center"/>
        <w:rPr>
          <w:rFonts w:ascii="Calibri" w:hAnsi="Calibri" w:cs="Calibri"/>
          <w:color w:val="000000"/>
          <w:sz w:val="23"/>
          <w:szCs w:val="23"/>
        </w:rPr>
      </w:pPr>
      <w:r w:rsidRPr="006D57DF">
        <w:rPr>
          <w:rFonts w:ascii="Calibri" w:hAnsi="Calibri" w:cs="Calibri"/>
          <w:b/>
          <w:bCs/>
          <w:color w:val="000000"/>
          <w:sz w:val="23"/>
          <w:szCs w:val="23"/>
        </w:rPr>
        <w:lastRenderedPageBreak/>
        <w:t>ELEMENTI OCJENJIVANJA POSTIGNUTE RAZINE KOMPETENCIJA, NAČINI I POSTUPCI VREDNOVANJA U SEDMOM RAZREDU</w:t>
      </w:r>
    </w:p>
    <w:p w:rsidR="006D57DF" w:rsidRPr="006D57DF" w:rsidRDefault="006D57DF" w:rsidP="006D57DF">
      <w:pPr>
        <w:autoSpaceDE w:val="0"/>
        <w:autoSpaceDN w:val="0"/>
        <w:adjustRightInd w:val="0"/>
        <w:spacing w:after="0" w:line="240" w:lineRule="auto"/>
        <w:rPr>
          <w:rFonts w:ascii="Calibri" w:hAnsi="Calibri" w:cs="Calibri"/>
          <w:color w:val="000000"/>
        </w:rPr>
      </w:pPr>
      <w:r w:rsidRPr="006D57DF">
        <w:rPr>
          <w:rFonts w:ascii="Calibri" w:hAnsi="Calibri" w:cs="Calibri"/>
          <w:color w:val="000000"/>
        </w:rPr>
        <w:t xml:space="preserve">Nastavni predmet: </w:t>
      </w:r>
      <w:r w:rsidRPr="006D57DF">
        <w:rPr>
          <w:rFonts w:ascii="Calibri" w:hAnsi="Calibri" w:cs="Calibri"/>
          <w:b/>
          <w:bCs/>
          <w:color w:val="000000"/>
        </w:rPr>
        <w:t xml:space="preserve">GLAZBENA KULTURA </w:t>
      </w:r>
    </w:p>
    <w:p w:rsidR="006D57DF" w:rsidRDefault="006D57DF" w:rsidP="006D57DF">
      <w:pPr>
        <w:autoSpaceDE w:val="0"/>
        <w:autoSpaceDN w:val="0"/>
        <w:adjustRightInd w:val="0"/>
        <w:spacing w:after="0" w:line="240" w:lineRule="auto"/>
        <w:rPr>
          <w:rFonts w:ascii="Calibri" w:hAnsi="Calibri" w:cs="Calibri"/>
          <w:b/>
          <w:bCs/>
          <w:color w:val="000000"/>
        </w:rPr>
      </w:pPr>
      <w:r w:rsidRPr="006D57DF">
        <w:rPr>
          <w:rFonts w:ascii="Calibri" w:hAnsi="Calibri" w:cs="Calibri"/>
          <w:color w:val="000000"/>
        </w:rPr>
        <w:t xml:space="preserve">Razred: </w:t>
      </w:r>
      <w:r w:rsidRPr="006D57DF">
        <w:rPr>
          <w:rFonts w:ascii="Calibri" w:hAnsi="Calibri" w:cs="Calibri"/>
          <w:b/>
          <w:bCs/>
          <w:color w:val="000000"/>
        </w:rPr>
        <w:t xml:space="preserve">7. </w:t>
      </w:r>
    </w:p>
    <w:p w:rsidR="00F7013B" w:rsidRDefault="00F7013B" w:rsidP="006D57DF">
      <w:pPr>
        <w:autoSpaceDE w:val="0"/>
        <w:autoSpaceDN w:val="0"/>
        <w:adjustRightInd w:val="0"/>
        <w:spacing w:after="0" w:line="240" w:lineRule="auto"/>
        <w:rPr>
          <w:rFonts w:ascii="Calibri" w:hAnsi="Calibri" w:cs="Calibri"/>
          <w:b/>
          <w:bCs/>
          <w:color w:val="000000"/>
        </w:rPr>
      </w:pPr>
      <w:r w:rsidRPr="006D57DF">
        <w:rPr>
          <w:rFonts w:ascii="Calibri" w:hAnsi="Calibri" w:cs="Calibri"/>
          <w:color w:val="000000"/>
        </w:rPr>
        <w:t>Načini i postupci vrednovanja: individualno, skupno, usmeno, pismeno</w:t>
      </w:r>
    </w:p>
    <w:p w:rsidR="00F7013B" w:rsidRPr="006D57DF" w:rsidRDefault="00F7013B" w:rsidP="006D57DF">
      <w:pPr>
        <w:autoSpaceDE w:val="0"/>
        <w:autoSpaceDN w:val="0"/>
        <w:adjustRightInd w:val="0"/>
        <w:spacing w:after="0" w:line="240" w:lineRule="auto"/>
        <w:rPr>
          <w:rFonts w:ascii="Calibri" w:hAnsi="Calibri" w:cs="Calibri"/>
          <w:color w:val="000000"/>
        </w:rPr>
      </w:pPr>
    </w:p>
    <w:tbl>
      <w:tblPr>
        <w:tblStyle w:val="TableGrid"/>
        <w:tblW w:w="15417" w:type="dxa"/>
        <w:tblLayout w:type="fixed"/>
        <w:tblLook w:val="0000" w:firstRow="0" w:lastRow="0" w:firstColumn="0" w:lastColumn="0" w:noHBand="0" w:noVBand="0"/>
      </w:tblPr>
      <w:tblGrid>
        <w:gridCol w:w="675"/>
        <w:gridCol w:w="2969"/>
        <w:gridCol w:w="2969"/>
        <w:gridCol w:w="2969"/>
        <w:gridCol w:w="2969"/>
        <w:gridCol w:w="2866"/>
      </w:tblGrid>
      <w:tr w:rsidR="00F7013B" w:rsidRPr="006D57DF" w:rsidTr="00F7013B">
        <w:trPr>
          <w:trHeight w:val="110"/>
        </w:trPr>
        <w:tc>
          <w:tcPr>
            <w:tcW w:w="675" w:type="dxa"/>
          </w:tcPr>
          <w:p w:rsidR="00F7013B" w:rsidRPr="006D57DF" w:rsidRDefault="00F7013B" w:rsidP="006D57DF">
            <w:pPr>
              <w:autoSpaceDE w:val="0"/>
              <w:autoSpaceDN w:val="0"/>
              <w:adjustRightInd w:val="0"/>
              <w:rPr>
                <w:rFonts w:ascii="Calibri" w:hAnsi="Calibri" w:cs="Calibri"/>
                <w:color w:val="000000"/>
              </w:rPr>
            </w:pPr>
          </w:p>
        </w:tc>
        <w:tc>
          <w:tcPr>
            <w:tcW w:w="2969" w:type="dxa"/>
          </w:tcPr>
          <w:p w:rsidR="00F7013B" w:rsidRPr="006D57DF" w:rsidRDefault="00F7013B" w:rsidP="00F7013B">
            <w:pPr>
              <w:autoSpaceDE w:val="0"/>
              <w:autoSpaceDN w:val="0"/>
              <w:adjustRightInd w:val="0"/>
              <w:jc w:val="center"/>
              <w:rPr>
                <w:rFonts w:ascii="Calibri" w:hAnsi="Calibri" w:cs="Calibri"/>
                <w:color w:val="000000"/>
              </w:rPr>
            </w:pPr>
            <w:r w:rsidRPr="006D57DF">
              <w:rPr>
                <w:rFonts w:ascii="Calibri" w:hAnsi="Calibri" w:cs="Calibri"/>
                <w:b/>
                <w:bCs/>
                <w:color w:val="000000"/>
              </w:rPr>
              <w:t>ODLIČAN</w:t>
            </w:r>
          </w:p>
        </w:tc>
        <w:tc>
          <w:tcPr>
            <w:tcW w:w="2969" w:type="dxa"/>
          </w:tcPr>
          <w:p w:rsidR="00F7013B" w:rsidRPr="006D57DF" w:rsidRDefault="00F7013B" w:rsidP="00F7013B">
            <w:pPr>
              <w:autoSpaceDE w:val="0"/>
              <w:autoSpaceDN w:val="0"/>
              <w:adjustRightInd w:val="0"/>
              <w:jc w:val="center"/>
              <w:rPr>
                <w:rFonts w:ascii="Calibri" w:hAnsi="Calibri" w:cs="Calibri"/>
                <w:color w:val="000000"/>
              </w:rPr>
            </w:pPr>
            <w:r w:rsidRPr="006D57DF">
              <w:rPr>
                <w:rFonts w:ascii="Calibri" w:hAnsi="Calibri" w:cs="Calibri"/>
                <w:b/>
                <w:bCs/>
                <w:color w:val="000000"/>
              </w:rPr>
              <w:t>VRLO DOBAR</w:t>
            </w:r>
          </w:p>
        </w:tc>
        <w:tc>
          <w:tcPr>
            <w:tcW w:w="2969" w:type="dxa"/>
          </w:tcPr>
          <w:p w:rsidR="00F7013B" w:rsidRPr="006D57DF" w:rsidRDefault="00F7013B" w:rsidP="00F7013B">
            <w:pPr>
              <w:autoSpaceDE w:val="0"/>
              <w:autoSpaceDN w:val="0"/>
              <w:adjustRightInd w:val="0"/>
              <w:jc w:val="center"/>
              <w:rPr>
                <w:rFonts w:ascii="Calibri" w:hAnsi="Calibri" w:cs="Calibri"/>
                <w:color w:val="000000"/>
              </w:rPr>
            </w:pPr>
            <w:r w:rsidRPr="006D57DF">
              <w:rPr>
                <w:rFonts w:ascii="Calibri" w:hAnsi="Calibri" w:cs="Calibri"/>
                <w:b/>
                <w:bCs/>
                <w:color w:val="000000"/>
              </w:rPr>
              <w:t>DOBAR</w:t>
            </w:r>
          </w:p>
        </w:tc>
        <w:tc>
          <w:tcPr>
            <w:tcW w:w="2969" w:type="dxa"/>
          </w:tcPr>
          <w:p w:rsidR="00F7013B" w:rsidRPr="006D57DF" w:rsidRDefault="00F7013B" w:rsidP="00F7013B">
            <w:pPr>
              <w:autoSpaceDE w:val="0"/>
              <w:autoSpaceDN w:val="0"/>
              <w:adjustRightInd w:val="0"/>
              <w:jc w:val="center"/>
              <w:rPr>
                <w:rFonts w:ascii="Calibri" w:hAnsi="Calibri" w:cs="Calibri"/>
                <w:color w:val="000000"/>
              </w:rPr>
            </w:pPr>
            <w:r w:rsidRPr="006D57DF">
              <w:rPr>
                <w:rFonts w:ascii="Calibri" w:hAnsi="Calibri" w:cs="Calibri"/>
                <w:b/>
                <w:bCs/>
                <w:color w:val="000000"/>
              </w:rPr>
              <w:t>DOVOLJAN</w:t>
            </w:r>
          </w:p>
        </w:tc>
        <w:tc>
          <w:tcPr>
            <w:tcW w:w="2866" w:type="dxa"/>
          </w:tcPr>
          <w:p w:rsidR="00F7013B" w:rsidRPr="006D57DF" w:rsidRDefault="00F7013B" w:rsidP="00F7013B">
            <w:pPr>
              <w:autoSpaceDE w:val="0"/>
              <w:autoSpaceDN w:val="0"/>
              <w:adjustRightInd w:val="0"/>
              <w:jc w:val="center"/>
              <w:rPr>
                <w:rFonts w:ascii="Calibri" w:hAnsi="Calibri" w:cs="Calibri"/>
                <w:color w:val="000000"/>
              </w:rPr>
            </w:pPr>
            <w:r w:rsidRPr="006D57DF">
              <w:rPr>
                <w:rFonts w:ascii="Calibri" w:hAnsi="Calibri" w:cs="Calibri"/>
                <w:b/>
                <w:bCs/>
                <w:color w:val="000000"/>
              </w:rPr>
              <w:t>NEDOVOLJAN</w:t>
            </w:r>
          </w:p>
        </w:tc>
      </w:tr>
      <w:tr w:rsidR="006D57DF" w:rsidRPr="006D57DF" w:rsidTr="00F7013B">
        <w:trPr>
          <w:cantSplit/>
          <w:trHeight w:val="1046"/>
        </w:trPr>
        <w:tc>
          <w:tcPr>
            <w:tcW w:w="675" w:type="dxa"/>
            <w:textDirection w:val="btLr"/>
          </w:tcPr>
          <w:p w:rsidR="006D57DF" w:rsidRPr="006D57DF" w:rsidRDefault="006D57DF" w:rsidP="00F7013B">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Pjevanje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Samostalno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intonativno čisto, ritmički točno i izražajno, točan tekst.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Samostalno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intonativno malo slabije, ritmički točno i izražajno.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Uz malu pomod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osrednje intonativno i ritmički.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Uz malu pomod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minimalno intonativno i ritmički. </w:t>
            </w:r>
          </w:p>
        </w:tc>
        <w:tc>
          <w:tcPr>
            <w:tcW w:w="2866"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Odbija suradnju. </w:t>
            </w:r>
          </w:p>
        </w:tc>
      </w:tr>
      <w:tr w:rsidR="006D57DF" w:rsidRPr="006D57DF" w:rsidTr="00F7013B">
        <w:trPr>
          <w:cantSplit/>
          <w:trHeight w:val="990"/>
        </w:trPr>
        <w:tc>
          <w:tcPr>
            <w:tcW w:w="675" w:type="dxa"/>
            <w:textDirection w:val="btLr"/>
          </w:tcPr>
          <w:p w:rsidR="006D57DF" w:rsidRPr="006D57DF" w:rsidRDefault="006D57DF" w:rsidP="00F7013B">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Sviranje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Važna je aktivnost, precizna izvedba.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Aktivan, ali pomalo nesiguran.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Aktivan na poticaj, nesiguran u izvedbi.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 surađuje, neprecizna izvedba. </w:t>
            </w:r>
          </w:p>
        </w:tc>
        <w:tc>
          <w:tcPr>
            <w:tcW w:w="2866"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Nedovoljno radi i surađuje, ne ulaže trud, interes na satu je nedovoljan. </w:t>
            </w:r>
          </w:p>
        </w:tc>
      </w:tr>
      <w:tr w:rsidR="006D57DF" w:rsidRPr="006D57DF" w:rsidTr="00F7013B">
        <w:trPr>
          <w:cantSplit/>
          <w:trHeight w:val="1134"/>
        </w:trPr>
        <w:tc>
          <w:tcPr>
            <w:tcW w:w="675" w:type="dxa"/>
            <w:textDirection w:val="btLr"/>
          </w:tcPr>
          <w:p w:rsidR="006D57DF" w:rsidRPr="006D57DF" w:rsidRDefault="006D57DF" w:rsidP="00F7013B">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Intonacija, ritam i glazbeno pismo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Točno imenuje, prepoznaje i zapisuje notne vrijednosti, vrste mjera, temeljne oznake tempa i dinamike, prepoznaje legato, ligaturu i koronu, znak ponavljanja, prvi i drugi završetak, solmizacijska imena, glazbenu abecedu.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Prepoznaje sve elemente ali mu je povremeno potrebna pomod.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Djelomično prepoznaje elemente glazbene pismenosti i treba ga poticati na rad.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Nesamostalan, u svemu potrebna pomod učitelja. </w:t>
            </w:r>
          </w:p>
        </w:tc>
        <w:tc>
          <w:tcPr>
            <w:tcW w:w="2866"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Ne prepoznaje ni jedan element glazbene pismenosti. </w:t>
            </w:r>
          </w:p>
        </w:tc>
      </w:tr>
      <w:tr w:rsidR="006D57DF" w:rsidRPr="006D57DF" w:rsidTr="00F7013B">
        <w:trPr>
          <w:cantSplit/>
          <w:trHeight w:val="1320"/>
        </w:trPr>
        <w:tc>
          <w:tcPr>
            <w:tcW w:w="675" w:type="dxa"/>
            <w:textDirection w:val="btLr"/>
          </w:tcPr>
          <w:p w:rsidR="006D57DF" w:rsidRPr="006D57DF" w:rsidRDefault="006D57DF" w:rsidP="00F7013B">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Osnove glazbene </w:t>
            </w:r>
          </w:p>
          <w:p w:rsidR="006D57DF" w:rsidRPr="006D57DF" w:rsidRDefault="006D57DF" w:rsidP="00F7013B">
            <w:pPr>
              <w:autoSpaceDE w:val="0"/>
              <w:autoSpaceDN w:val="0"/>
              <w:adjustRightInd w:val="0"/>
              <w:ind w:left="113" w:right="113"/>
              <w:rPr>
                <w:rFonts w:ascii="Calibri" w:hAnsi="Calibri" w:cs="Calibri"/>
                <w:color w:val="000000"/>
                <w:sz w:val="20"/>
                <w:szCs w:val="20"/>
              </w:rPr>
            </w:pPr>
            <w:r w:rsidRPr="006D57DF">
              <w:rPr>
                <w:rFonts w:ascii="Calibri" w:hAnsi="Calibri" w:cs="Calibri"/>
                <w:b/>
                <w:bCs/>
                <w:color w:val="000000"/>
                <w:sz w:val="20"/>
                <w:szCs w:val="20"/>
              </w:rPr>
              <w:t xml:space="preserve">Umjetnosti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Samostalno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prepoznaje skladbe i imena skladatelja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usmeno znati objasniti glazbeni oblik i vrstu te navesti ime analizirane skladbe,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vizualno i slušno prepoznaje određeno glazbalo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poznaje elemenate folklorne glazbe određenog područja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Uz pomod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prepoznaje skladbe i imena skladatelja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usmeno znati objasniti glazbeni oblik i vrstu te navesti ime analizirane skladbe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vizualno i slušno prepoznaje određeno glazbalo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poznaje elemenate folklorne glazbe određenog područja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Bez pomodi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prepoznaje samo skladbe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Uz pomod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usmeno znati objasniti glazbeni oblik i vrstu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zna samo vizualno prepoznati određeno glazbalo - poznaje pojedine elemenate folklorne glazbe određenog područja </w:t>
            </w:r>
          </w:p>
        </w:tc>
        <w:tc>
          <w:tcPr>
            <w:tcW w:w="2969"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Uz pomod nastavnika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uz veliku pomod učitelja se uključuje u analizu skladbe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djelomično zna objasniti glazbeni oblik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djelomično vizualno prepoznaje određeno glazbalo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minimalno poznaje elemenate folklorne glazbe određenog područja </w:t>
            </w:r>
          </w:p>
        </w:tc>
        <w:tc>
          <w:tcPr>
            <w:tcW w:w="2866" w:type="dxa"/>
          </w:tcPr>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ne želi sudjelovati u aktivnom slušanju - ne zna i ne želi objasniti glazbeni oblik </w:t>
            </w:r>
          </w:p>
          <w:p w:rsidR="006D57DF" w:rsidRPr="006D57DF" w:rsidRDefault="006D57DF" w:rsidP="006D57DF">
            <w:pPr>
              <w:autoSpaceDE w:val="0"/>
              <w:autoSpaceDN w:val="0"/>
              <w:adjustRightInd w:val="0"/>
              <w:rPr>
                <w:rFonts w:ascii="Calibri" w:hAnsi="Calibri" w:cs="Calibri"/>
                <w:color w:val="000000"/>
              </w:rPr>
            </w:pPr>
            <w:r w:rsidRPr="006D57DF">
              <w:rPr>
                <w:rFonts w:ascii="Calibri" w:hAnsi="Calibri" w:cs="Calibri"/>
                <w:color w:val="000000"/>
              </w:rPr>
              <w:t xml:space="preserve">- ne prepoznaje niti vizualno niti slušno određeno glazbalo - ne prepoznaje elemenate folklorne glazbe određenog područja </w:t>
            </w:r>
          </w:p>
        </w:tc>
      </w:tr>
    </w:tbl>
    <w:p w:rsidR="006D57DF" w:rsidRDefault="006D57DF" w:rsidP="006D57DF"/>
    <w:p w:rsidR="00F7013B" w:rsidRDefault="00F7013B" w:rsidP="006D57DF"/>
    <w:p w:rsidR="00F7013B" w:rsidRDefault="00F7013B" w:rsidP="006D57DF"/>
    <w:p w:rsidR="00F7013B" w:rsidRPr="00F7013B" w:rsidRDefault="00F7013B" w:rsidP="00F7013B">
      <w:pPr>
        <w:pStyle w:val="Default"/>
        <w:jc w:val="center"/>
        <w:rPr>
          <w:sz w:val="23"/>
          <w:szCs w:val="23"/>
        </w:rPr>
      </w:pPr>
      <w:r>
        <w:rPr>
          <w:b/>
          <w:bCs/>
          <w:sz w:val="23"/>
          <w:szCs w:val="23"/>
        </w:rPr>
        <w:lastRenderedPageBreak/>
        <w:t>ELEMENTI OCJENJIVANJA POSTIGNUTE RAZINE KOMPETENCIJA,</w:t>
      </w:r>
      <w:r w:rsidRPr="00F7013B">
        <w:rPr>
          <w:b/>
          <w:bCs/>
          <w:sz w:val="23"/>
          <w:szCs w:val="23"/>
        </w:rPr>
        <w:t xml:space="preserve"> NAČINI I POSTUPCI VREDNOVANJA U OSMOM RAZREDU</w:t>
      </w:r>
    </w:p>
    <w:p w:rsidR="00F7013B" w:rsidRPr="00F7013B" w:rsidRDefault="00F7013B" w:rsidP="00F7013B">
      <w:pPr>
        <w:autoSpaceDE w:val="0"/>
        <w:autoSpaceDN w:val="0"/>
        <w:adjustRightInd w:val="0"/>
        <w:spacing w:after="0" w:line="240" w:lineRule="auto"/>
        <w:rPr>
          <w:rFonts w:ascii="Calibri" w:hAnsi="Calibri" w:cs="Calibri"/>
          <w:color w:val="000000"/>
        </w:rPr>
      </w:pPr>
      <w:r w:rsidRPr="00F7013B">
        <w:rPr>
          <w:rFonts w:ascii="Calibri" w:hAnsi="Calibri" w:cs="Calibri"/>
          <w:color w:val="000000"/>
        </w:rPr>
        <w:t xml:space="preserve">Nastavni predmet: </w:t>
      </w:r>
      <w:r w:rsidRPr="00F7013B">
        <w:rPr>
          <w:rFonts w:ascii="Calibri" w:hAnsi="Calibri" w:cs="Calibri"/>
          <w:b/>
          <w:bCs/>
          <w:color w:val="000000"/>
        </w:rPr>
        <w:t xml:space="preserve">GLAZBENA KULTURA </w:t>
      </w:r>
    </w:p>
    <w:p w:rsidR="00F7013B" w:rsidRDefault="00F7013B" w:rsidP="00F7013B">
      <w:pPr>
        <w:autoSpaceDE w:val="0"/>
        <w:autoSpaceDN w:val="0"/>
        <w:adjustRightInd w:val="0"/>
        <w:spacing w:after="0" w:line="240" w:lineRule="auto"/>
        <w:rPr>
          <w:rFonts w:ascii="Calibri" w:hAnsi="Calibri" w:cs="Calibri"/>
          <w:b/>
          <w:bCs/>
          <w:color w:val="000000"/>
        </w:rPr>
      </w:pPr>
      <w:r w:rsidRPr="00F7013B">
        <w:rPr>
          <w:rFonts w:ascii="Calibri" w:hAnsi="Calibri" w:cs="Calibri"/>
          <w:color w:val="000000"/>
        </w:rPr>
        <w:t xml:space="preserve">Razredi: </w:t>
      </w:r>
      <w:r w:rsidRPr="00F7013B">
        <w:rPr>
          <w:rFonts w:ascii="Calibri" w:hAnsi="Calibri" w:cs="Calibri"/>
          <w:b/>
          <w:bCs/>
          <w:color w:val="000000"/>
        </w:rPr>
        <w:t xml:space="preserve">8. </w:t>
      </w:r>
    </w:p>
    <w:p w:rsidR="00F7013B" w:rsidRDefault="00F7013B" w:rsidP="00F7013B">
      <w:pPr>
        <w:autoSpaceDE w:val="0"/>
        <w:autoSpaceDN w:val="0"/>
        <w:adjustRightInd w:val="0"/>
        <w:spacing w:after="0" w:line="240" w:lineRule="auto"/>
        <w:rPr>
          <w:rFonts w:ascii="Calibri" w:hAnsi="Calibri" w:cs="Calibri"/>
          <w:b/>
          <w:bCs/>
          <w:color w:val="000000"/>
        </w:rPr>
      </w:pPr>
      <w:r w:rsidRPr="00F7013B">
        <w:rPr>
          <w:rFonts w:ascii="Calibri" w:hAnsi="Calibri" w:cs="Calibri"/>
          <w:color w:val="000000"/>
        </w:rPr>
        <w:t>Načini i postupci vrednovanja: individualno, skupno, usmeno, pismeno</w:t>
      </w:r>
    </w:p>
    <w:tbl>
      <w:tblPr>
        <w:tblStyle w:val="TableGrid"/>
        <w:tblW w:w="15276" w:type="dxa"/>
        <w:tblLayout w:type="fixed"/>
        <w:tblLook w:val="0000" w:firstRow="0" w:lastRow="0" w:firstColumn="0" w:lastColumn="0" w:noHBand="0" w:noVBand="0"/>
      </w:tblPr>
      <w:tblGrid>
        <w:gridCol w:w="817"/>
        <w:gridCol w:w="3969"/>
        <w:gridCol w:w="2835"/>
        <w:gridCol w:w="2693"/>
        <w:gridCol w:w="2268"/>
        <w:gridCol w:w="2694"/>
      </w:tblGrid>
      <w:tr w:rsidR="00F7013B" w:rsidRPr="00F7013B" w:rsidTr="00F7013B">
        <w:trPr>
          <w:trHeight w:val="110"/>
        </w:trPr>
        <w:tc>
          <w:tcPr>
            <w:tcW w:w="817" w:type="dxa"/>
          </w:tcPr>
          <w:p w:rsidR="00F7013B" w:rsidRPr="00F7013B" w:rsidRDefault="00F7013B" w:rsidP="00F7013B">
            <w:pPr>
              <w:autoSpaceDE w:val="0"/>
              <w:autoSpaceDN w:val="0"/>
              <w:adjustRightInd w:val="0"/>
              <w:rPr>
                <w:rFonts w:ascii="Calibri" w:hAnsi="Calibri" w:cs="Calibri"/>
                <w:color w:val="000000"/>
              </w:rPr>
            </w:pPr>
          </w:p>
        </w:tc>
        <w:tc>
          <w:tcPr>
            <w:tcW w:w="3969"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b/>
                <w:bCs/>
                <w:color w:val="000000"/>
              </w:rPr>
              <w:t>ODLIČAN</w:t>
            </w:r>
          </w:p>
        </w:tc>
        <w:tc>
          <w:tcPr>
            <w:tcW w:w="2835"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b/>
                <w:bCs/>
                <w:color w:val="000000"/>
              </w:rPr>
              <w:t xml:space="preserve">VRLO DOBAR </w:t>
            </w:r>
          </w:p>
        </w:tc>
        <w:tc>
          <w:tcPr>
            <w:tcW w:w="2693"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b/>
                <w:bCs/>
                <w:color w:val="000000"/>
              </w:rPr>
              <w:t xml:space="preserve">DOBAR </w:t>
            </w:r>
          </w:p>
        </w:tc>
        <w:tc>
          <w:tcPr>
            <w:tcW w:w="2268"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b/>
                <w:bCs/>
                <w:color w:val="000000"/>
              </w:rPr>
              <w:t xml:space="preserve">DOVOLJAN </w:t>
            </w:r>
          </w:p>
        </w:tc>
        <w:tc>
          <w:tcPr>
            <w:tcW w:w="2694"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b/>
                <w:bCs/>
                <w:color w:val="000000"/>
              </w:rPr>
              <w:t xml:space="preserve">NEDOVOLJAN </w:t>
            </w:r>
          </w:p>
        </w:tc>
      </w:tr>
      <w:tr w:rsidR="00F7013B" w:rsidRPr="00F7013B" w:rsidTr="00F7013B">
        <w:trPr>
          <w:cantSplit/>
          <w:trHeight w:val="1134"/>
        </w:trPr>
        <w:tc>
          <w:tcPr>
            <w:tcW w:w="817" w:type="dxa"/>
            <w:textDirection w:val="btLr"/>
          </w:tcPr>
          <w:p w:rsidR="00F7013B" w:rsidRPr="00F7013B" w:rsidRDefault="00F7013B" w:rsidP="00F7013B">
            <w:pPr>
              <w:autoSpaceDE w:val="0"/>
              <w:autoSpaceDN w:val="0"/>
              <w:adjustRightInd w:val="0"/>
              <w:ind w:left="113" w:right="113"/>
              <w:jc w:val="center"/>
              <w:rPr>
                <w:rFonts w:ascii="Calibri" w:hAnsi="Calibri" w:cs="Calibri"/>
                <w:color w:val="000000"/>
              </w:rPr>
            </w:pPr>
            <w:r w:rsidRPr="00F7013B">
              <w:rPr>
                <w:rFonts w:ascii="Calibri" w:hAnsi="Calibri" w:cs="Calibri"/>
                <w:b/>
                <w:bCs/>
                <w:color w:val="000000"/>
              </w:rPr>
              <w:t>Pjevanje</w:t>
            </w:r>
          </w:p>
        </w:tc>
        <w:tc>
          <w:tcPr>
            <w:tcW w:w="3969"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Lijepo i izražajno pjeva sa poznavanjem teksta, intonativno i ritmički točno, uz aktivno sudjelovanje u skupini. </w:t>
            </w:r>
          </w:p>
        </w:tc>
        <w:tc>
          <w:tcPr>
            <w:tcW w:w="2835"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Za nijansu nesigurnija izvedba od ocjene odličan. </w:t>
            </w:r>
          </w:p>
        </w:tc>
        <w:tc>
          <w:tcPr>
            <w:tcW w:w="2693"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Povremeno aktivno sudjeluje, radi na poticaj, nesiguran u izvedbi. </w:t>
            </w:r>
          </w:p>
        </w:tc>
        <w:tc>
          <w:tcPr>
            <w:tcW w:w="2268"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Djelomično poznaje tekst i melodiju, nesiguran u samostalnoj izvedbi, ne sudjeluje aktivno. </w:t>
            </w:r>
          </w:p>
        </w:tc>
        <w:tc>
          <w:tcPr>
            <w:tcW w:w="2694"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 pokazuje interes za nastavne sadržaje i aktivnosti, uopde ne poznaje pjesmu. </w:t>
            </w:r>
          </w:p>
        </w:tc>
      </w:tr>
      <w:tr w:rsidR="00F7013B" w:rsidRPr="00F7013B" w:rsidTr="00F7013B">
        <w:trPr>
          <w:cantSplit/>
          <w:trHeight w:val="1134"/>
        </w:trPr>
        <w:tc>
          <w:tcPr>
            <w:tcW w:w="817" w:type="dxa"/>
            <w:textDirection w:val="btLr"/>
          </w:tcPr>
          <w:p w:rsidR="00F7013B" w:rsidRPr="00F7013B" w:rsidRDefault="00F7013B" w:rsidP="00F7013B">
            <w:pPr>
              <w:autoSpaceDE w:val="0"/>
              <w:autoSpaceDN w:val="0"/>
              <w:adjustRightInd w:val="0"/>
              <w:ind w:left="113" w:right="113"/>
              <w:jc w:val="center"/>
              <w:rPr>
                <w:rFonts w:ascii="Calibri" w:hAnsi="Calibri" w:cs="Calibri"/>
                <w:color w:val="000000"/>
              </w:rPr>
            </w:pPr>
            <w:r w:rsidRPr="00F7013B">
              <w:rPr>
                <w:rFonts w:ascii="Calibri" w:hAnsi="Calibri" w:cs="Calibri"/>
                <w:b/>
                <w:bCs/>
                <w:color w:val="000000"/>
              </w:rPr>
              <w:t>Sviranje</w:t>
            </w:r>
          </w:p>
        </w:tc>
        <w:tc>
          <w:tcPr>
            <w:tcW w:w="3969"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Važna je aktivnost, precizna izvedba. </w:t>
            </w:r>
          </w:p>
        </w:tc>
        <w:tc>
          <w:tcPr>
            <w:tcW w:w="2835"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Aktivan, ali pomalo nesiguran. </w:t>
            </w:r>
          </w:p>
        </w:tc>
        <w:tc>
          <w:tcPr>
            <w:tcW w:w="2693"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Aktivan na poticaj, nesiguran u izvedbi. </w:t>
            </w:r>
          </w:p>
        </w:tc>
        <w:tc>
          <w:tcPr>
            <w:tcW w:w="2268"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 surađuje, neprecizna izvedba. </w:t>
            </w:r>
          </w:p>
        </w:tc>
        <w:tc>
          <w:tcPr>
            <w:tcW w:w="2694"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Nedovoljno radi i surađuje, ne ulaže trud, interes na satu je nedovoljan. </w:t>
            </w:r>
          </w:p>
        </w:tc>
      </w:tr>
      <w:tr w:rsidR="00F7013B" w:rsidRPr="00F7013B" w:rsidTr="00F7013B">
        <w:trPr>
          <w:cantSplit/>
          <w:trHeight w:val="1800"/>
        </w:trPr>
        <w:tc>
          <w:tcPr>
            <w:tcW w:w="817" w:type="dxa"/>
            <w:textDirection w:val="btLr"/>
          </w:tcPr>
          <w:p w:rsidR="00F7013B" w:rsidRPr="00F7013B" w:rsidRDefault="00F7013B" w:rsidP="00F7013B">
            <w:pPr>
              <w:autoSpaceDE w:val="0"/>
              <w:autoSpaceDN w:val="0"/>
              <w:adjustRightInd w:val="0"/>
              <w:ind w:left="113" w:right="113"/>
              <w:jc w:val="center"/>
              <w:rPr>
                <w:rFonts w:ascii="Calibri" w:hAnsi="Calibri" w:cs="Calibri"/>
                <w:color w:val="000000"/>
              </w:rPr>
            </w:pPr>
            <w:r w:rsidRPr="00F7013B">
              <w:rPr>
                <w:rFonts w:ascii="Calibri" w:hAnsi="Calibri" w:cs="Calibri"/>
                <w:b/>
                <w:bCs/>
                <w:color w:val="000000"/>
              </w:rPr>
              <w:t>Intonacija, ritam i glazbeno pismo</w:t>
            </w:r>
          </w:p>
        </w:tc>
        <w:tc>
          <w:tcPr>
            <w:tcW w:w="3969"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Točno imenuje, prepoznaje i zapisuje notne vrijednosti, vrste mjera, temeljne oznake tempa i dinamike, prepoznaje legato, ligaturu i koronu, znak ponavljanja, prvi i drugi završetak, solmizacijska imena, glazbenu abecedu. </w:t>
            </w:r>
          </w:p>
        </w:tc>
        <w:tc>
          <w:tcPr>
            <w:tcW w:w="2835"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Prepoznaje sve elemente ali mu je povremeno potrebna pomod. </w:t>
            </w:r>
          </w:p>
        </w:tc>
        <w:tc>
          <w:tcPr>
            <w:tcW w:w="2693"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Djelomično prepoznaje elemente glazbene pismenosti i treba ga poticati na rad. </w:t>
            </w:r>
          </w:p>
        </w:tc>
        <w:tc>
          <w:tcPr>
            <w:tcW w:w="2268"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Nesamostalan, u svemu potrebna pomod učitelja. </w:t>
            </w:r>
          </w:p>
        </w:tc>
        <w:tc>
          <w:tcPr>
            <w:tcW w:w="2694"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 prepoznaje ni jedan element glazbene pismenosti. </w:t>
            </w:r>
          </w:p>
        </w:tc>
      </w:tr>
      <w:tr w:rsidR="00F7013B" w:rsidRPr="00F7013B" w:rsidTr="00F7013B">
        <w:trPr>
          <w:cantSplit/>
          <w:trHeight w:val="1721"/>
        </w:trPr>
        <w:tc>
          <w:tcPr>
            <w:tcW w:w="817" w:type="dxa"/>
            <w:textDirection w:val="btLr"/>
          </w:tcPr>
          <w:p w:rsidR="00F7013B" w:rsidRPr="00F7013B" w:rsidRDefault="00F7013B" w:rsidP="00F7013B">
            <w:pPr>
              <w:autoSpaceDE w:val="0"/>
              <w:autoSpaceDN w:val="0"/>
              <w:adjustRightInd w:val="0"/>
              <w:ind w:left="113" w:right="113"/>
              <w:jc w:val="center"/>
              <w:rPr>
                <w:rFonts w:ascii="Calibri" w:hAnsi="Calibri" w:cs="Calibri"/>
                <w:color w:val="000000"/>
              </w:rPr>
            </w:pPr>
            <w:r w:rsidRPr="00F7013B">
              <w:rPr>
                <w:rFonts w:ascii="Calibri" w:hAnsi="Calibri" w:cs="Calibri"/>
                <w:b/>
                <w:bCs/>
                <w:color w:val="000000"/>
              </w:rPr>
              <w:t>Osnove glazbene umjetnosti</w:t>
            </w:r>
          </w:p>
        </w:tc>
        <w:tc>
          <w:tcPr>
            <w:tcW w:w="3969"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sa zanimanjem prati glazbeno djelo, samostalno prepoznaje skladbu i skladatelja, izraziti interes za rad.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Prepoznaje osnovne značajke glazbene vrste, može samostalno definirati.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 potpunosti prepoznaje pjevačke glasove.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Prepoznaje osnovne značajke stilskog razdoblja, može samostalno definirati uz glazbeni primjer. </w:t>
            </w:r>
          </w:p>
        </w:tc>
        <w:tc>
          <w:tcPr>
            <w:tcW w:w="2835"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Uz manje greške prepoznaje djelo, uglavnom koncentriran i zainteresiran za rad.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prepoznaje osnovne značajke glazbene vrste, uz manju pomod učitelja može definirati pojam.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Prepoznaje pjevačke glasove. Prepoznaje osnovne značajke stilskog razdoblja uz manju pomod učitelja, definira djelomično uz glazbeni primjer. </w:t>
            </w:r>
          </w:p>
        </w:tc>
        <w:tc>
          <w:tcPr>
            <w:tcW w:w="2693"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prepoznaje osnove, radi uz poticaj.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Djelomično prepoznaje pjevačke glasove.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Samo uz pomod nastavnika prepoznaje značajke stilskog razdoblja. Uz pomod učitelja može definirati pojam, pokazuje zainteresiranost i ulaže trud. </w:t>
            </w:r>
          </w:p>
        </w:tc>
        <w:tc>
          <w:tcPr>
            <w:tcW w:w="2268"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nije zainteresiran za rad, ne prepoznaje skladbe, radi uz velik poticaj. Ne prepoznaje značajke glazbenih vrsta.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Uz greške prepoznaje pjevačke glasove.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ne prepoznaje značajke stilskog razdoblja ni uz pomod učitelja, ali pokazuje interes. </w:t>
            </w:r>
          </w:p>
        </w:tc>
        <w:tc>
          <w:tcPr>
            <w:tcW w:w="2694" w:type="dxa"/>
          </w:tcPr>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u potpunosti odbija suradnju, nezainteresiran za rad.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 prepoznaje značajke glazbenih vrsta i ne pokazuje interes.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Ne prepoznaje pjevačke glasove. </w:t>
            </w:r>
          </w:p>
          <w:p w:rsidR="00F7013B" w:rsidRPr="00F7013B" w:rsidRDefault="00F7013B" w:rsidP="00F7013B">
            <w:pPr>
              <w:autoSpaceDE w:val="0"/>
              <w:autoSpaceDN w:val="0"/>
              <w:adjustRightInd w:val="0"/>
              <w:rPr>
                <w:rFonts w:ascii="Calibri" w:hAnsi="Calibri" w:cs="Calibri"/>
                <w:color w:val="000000"/>
              </w:rPr>
            </w:pPr>
            <w:r w:rsidRPr="00F7013B">
              <w:rPr>
                <w:rFonts w:ascii="Calibri" w:hAnsi="Calibri" w:cs="Calibri"/>
                <w:color w:val="000000"/>
              </w:rPr>
              <w:t xml:space="preserve">Učenik ne prepoznaje značajke stilskog razdoblja </w:t>
            </w:r>
          </w:p>
        </w:tc>
      </w:tr>
    </w:tbl>
    <w:p w:rsidR="00F7013B" w:rsidRDefault="00F7013B" w:rsidP="00F7013B"/>
    <w:sectPr w:rsidR="00F7013B" w:rsidSect="00F7013B">
      <w:pgSz w:w="16838" w:h="11906" w:orient="landscape"/>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DF"/>
    <w:rsid w:val="00623840"/>
    <w:rsid w:val="006D57DF"/>
    <w:rsid w:val="00B94704"/>
    <w:rsid w:val="00F24651"/>
    <w:rsid w:val="00F70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7D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D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7D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D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A450-E8E6-4E4A-9E01-9DEEA6DB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Babić Hojsak</dc:creator>
  <cp:lastModifiedBy>Tihomir Hojsak</cp:lastModifiedBy>
  <cp:revision>2</cp:revision>
  <dcterms:created xsi:type="dcterms:W3CDTF">2018-02-27T07:40:00Z</dcterms:created>
  <dcterms:modified xsi:type="dcterms:W3CDTF">2018-03-03T18:51:00Z</dcterms:modified>
</cp:coreProperties>
</file>